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A01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01A6" w:rsidRDefault="003716D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A01A6" w:rsidRDefault="003716DA">
            <w:pPr>
              <w:spacing w:after="0" w:line="240" w:lineRule="auto"/>
            </w:pPr>
            <w:r>
              <w:t>3201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01A6" w:rsidRDefault="003716D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A01A6" w:rsidRDefault="003716DA">
            <w:pPr>
              <w:spacing w:after="0" w:line="240" w:lineRule="auto"/>
            </w:pPr>
            <w:r>
              <w:t>KAZNIONICA U VALTURI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A01A6" w:rsidRDefault="003716D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A01A6" w:rsidRDefault="003716DA">
            <w:pPr>
              <w:spacing w:after="0" w:line="240" w:lineRule="auto"/>
            </w:pPr>
            <w:r>
              <w:t>11</w:t>
            </w:r>
          </w:p>
        </w:tc>
      </w:tr>
    </w:tbl>
    <w:p w:rsidR="008A01A6" w:rsidRDefault="003716DA">
      <w:r>
        <w:br/>
      </w:r>
    </w:p>
    <w:p w:rsidR="008A01A6" w:rsidRDefault="003716D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A01A6" w:rsidRDefault="003716D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A01A6" w:rsidRDefault="003716DA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1.318.015,42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1.357.748,15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1.150.960,50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1.152.176,83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178.754,44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280.871,68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343.056,64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275.110,76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339.311,02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123,3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291.831,55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160.556,58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Kaznionica u </w:t>
      </w:r>
      <w:proofErr w:type="spellStart"/>
      <w:r>
        <w:t>Valturi</w:t>
      </w:r>
      <w:proofErr w:type="spellEnd"/>
      <w:r>
        <w:t xml:space="preserve"> ostvarila je sljedeće:</w:t>
      </w:r>
    </w:p>
    <w:p w:rsidR="008A01A6" w:rsidRDefault="003716DA">
      <w:r>
        <w:t>Ukupni prihodi poslovanja iznose 1.361.493,77 €, a koji se sastoje od šifre 6 u iznosu od 1.357.748,15 € i šifre 7 u iznosu od 3.745,62 €.</w:t>
      </w:r>
    </w:p>
    <w:p w:rsidR="008A01A6" w:rsidRDefault="003716DA">
      <w:r>
        <w:lastRenderedPageBreak/>
        <w:t>Ukupni rashodi poslovanja iznose 1.522.050,35 €, a sastoje se od šifre 3 u iznosu od 1.178.993,71 € i šifre 4 u izno</w:t>
      </w:r>
      <w:r>
        <w:t>su od 343.056,64 €.</w:t>
      </w:r>
    </w:p>
    <w:p w:rsidR="008A01A6" w:rsidRDefault="003716DA">
      <w:r>
        <w:t>Smanjenje zaliha proizvodnje i gotovih proizvoda (šifra Z001-Z002) u iznosu od 26.816,88 €.</w:t>
      </w:r>
    </w:p>
    <w:p w:rsidR="008A01A6" w:rsidRDefault="003716DA">
      <w:r>
        <w:br/>
      </w:r>
    </w:p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1.318.015,42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1.357.748,15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Ostvareni prihodi poslovanja na dan 31.03.2026. iznose 1.357.748,15 € i veći su za 3,0% u odnosu od prihode u istom razdoblju prethodne godine, što je rezultat više ostvarenih prihoda iz državnog proračuna i vlastite djelatnosti.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27.380,78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62.127,98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226,9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Ostvareni prihodi iznose 62.127,98 €, a ostvareni su s osnove poticaja u poljoprivredi i stočarstvu, a veći su za 126,9% u odnosu na prethodnu godinu jer je u razdoblju do 31.03.2026. plaćeno više novčanih poticaja (odnose se na poticaje od APPRR za 2025.g</w:t>
      </w:r>
      <w:r>
        <w:t>).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</w:t>
            </w:r>
            <w:r>
              <w:rPr>
                <w:sz w:val="18"/>
              </w:rPr>
              <w:t xml:space="preserve">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320.605,48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296.392,72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Prihodi od prodaje proizvoda i robe te pruženih usluga iznose 296.392,72 € i manji su za 7,6% u odnosu na isto razdoblje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954.750,39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993.277,08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Prihodi iz nadležnog proračuna iznose 993.277,08 €, te su veći za 4% u odnosu na prihoda za isto razdoblje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37,9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Ostali prihodi u iznosu od 5.093,47 € odnose se na ostvareni rabat u zatvorskoj </w:t>
      </w:r>
      <w:proofErr w:type="spellStart"/>
      <w:r>
        <w:t>podavaonici</w:t>
      </w:r>
      <w:proofErr w:type="spellEnd"/>
      <w:r>
        <w:t xml:space="preserve"> i prihod od prodaje ambalaže u </w:t>
      </w:r>
      <w:proofErr w:type="spellStart"/>
      <w:r>
        <w:t>izosu</w:t>
      </w:r>
      <w:proofErr w:type="spellEnd"/>
      <w:r>
        <w:t xml:space="preserve"> od 5.093,07 € i prihod od usluge fotokopiranja u iznosu od 0,40 €, manji su za 62,1% u odnosu na isto razdoblje prethodne godin</w:t>
      </w:r>
      <w:r>
        <w:t>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1.150.960,50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1.152.176,83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Rashodi poslovanja u iznosu od 1.152.176,83 € veći su za 0,01% od ostvarenog u izvještajnom razdoblju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709.743,65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709.706,11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Rashodi za zaposlene iznose 709.706,11 € i na razini su rashoda iz istoga razdoblja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433.788,21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437.133,13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Materijalni rashodi iznose 437.133,13 € veći su za 0,08% u odnosu na isto razdoblje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71,9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Financijski rashodi iznose 5.337,59 € i manji su za 28,1% u odnosu na isto razdoblje prethodne godine, a odnose se na bankarske usluge i usluge platnog prometa i kamata za </w:t>
      </w:r>
      <w:proofErr w:type="spellStart"/>
      <w:r>
        <w:t>leasing</w:t>
      </w:r>
      <w:proofErr w:type="spellEnd"/>
      <w:r>
        <w:t>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5.760,92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Prihodi od prodaje nefinancijske imovine iznose 3.745,62 € i manji su za 35,0% u odnosu na isto razdoblje prethodne godine. Odnose se na manje naplaćene prihode ostvarene prodajom osnovnog stada.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280.871,68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343.056,64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Rashodi za nabavu nefinancijske imovine iznose 343.056,64 € i veći su za 22,1% u odnosu na isto razdoblje prethodne godine.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Rashodi za građevinske objekte u iznosu od 20.990,00 € odnose se na usluge izrade glavnog projekta za izgradnju nove staje u iznosu od 16.800,00€ i nabavu vrata s motornim pogonom za štalu u iznosu od 4.190,00 €.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24.521,80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Rashodi za nabavu postrojenja i opreme iznose 24.521,80 € i odnose se na nabavu radnog stroja tanjurače, aparata za </w:t>
      </w:r>
      <w:proofErr w:type="spellStart"/>
      <w:r>
        <w:t>vakumiranje</w:t>
      </w:r>
      <w:proofErr w:type="spellEnd"/>
      <w:r>
        <w:t xml:space="preserve">, </w:t>
      </w:r>
      <w:proofErr w:type="spellStart"/>
      <w:r>
        <w:t>stereo</w:t>
      </w:r>
      <w:proofErr w:type="spellEnd"/>
      <w:r>
        <w:t xml:space="preserve"> uređaja, klima uređaja i sterilizatora za radni prostor.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150.838,21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155.964,65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Rashodi za prijevozna sredstva iznose 155.964,65 € i veći su za 3,4% u odnosu na isto razdoblje prethodne godine. Odnose se na nabavu utovarivača i </w:t>
      </w:r>
      <w:proofErr w:type="spellStart"/>
      <w:r>
        <w:t>dampera</w:t>
      </w:r>
      <w:proofErr w:type="spellEnd"/>
      <w:r>
        <w:t xml:space="preserve"> za radionicu kamenoloma putem financijskog </w:t>
      </w:r>
      <w:proofErr w:type="spellStart"/>
      <w:r>
        <w:t>leasinga</w:t>
      </w:r>
      <w:proofErr w:type="spellEnd"/>
      <w:r>
        <w:t xml:space="preserve"> s otplatom u ratama, akontaciju i naknadu za nab</w:t>
      </w:r>
      <w:r>
        <w:t xml:space="preserve">avu žitnog kombajna putem financijskog </w:t>
      </w:r>
      <w:proofErr w:type="spellStart"/>
      <w:r>
        <w:t>leasinga</w:t>
      </w:r>
      <w:proofErr w:type="spellEnd"/>
      <w:r>
        <w:t>, nabavu tandem prikolice i prednjeg utovarivača.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130.033,47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141.580,19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Rashodi za dodatna ulaganja na nefinancijskoj imovini u iznosu od 141.580,19 € veći su za 8,9% u odnosu na isto razdoblje prethodne godine, a odnose se na ulaganja u građevinske objekte i povećanje vrijednosti (zamjena stolarije na objektima za smještaj za</w:t>
      </w:r>
      <w:r>
        <w:t>tvorenika).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291.831,55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160.556,58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55,0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Manjak prihoda i primitaka iznosi -160.556,58 € a čine ga utvrđeni višak prihoda od redovnog poslovanja u iznosu od +178.754,44 € i manjak prihoda od nefinancijske imovine od -339.311,02 €.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1.042.955,93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213.924,49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Višak prihoda - preneseni na dan 31.12.2025. iznosi 213.924,49 €, manji je u odnosu na isto razdoblje prethodne godine za 79,5%.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751.124,38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53.367,91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7,1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 xml:space="preserve">Višak prihoda raspoloživ u sljedećem razdoblju iznosi +53.367,91 € i manji je u odnosu na prethodno razdoblje za 92,9%, a sastoji se od manjka prihoda i primitaka na dan 31.03.2026. </w:t>
      </w:r>
      <w:r>
        <w:lastRenderedPageBreak/>
        <w:t xml:space="preserve">u iznosu od -160.556,58 € i prenesenog viška prihoda na dan 31.12.2025. u </w:t>
      </w:r>
      <w:r>
        <w:t>iznosu od +213.924,49 €.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400.406,52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Stanje obveza na kraju izvještajnog razdoblja iznosi 400.406,52 €, a sastoji se od:</w:t>
      </w:r>
    </w:p>
    <w:p w:rsidR="008A01A6" w:rsidRDefault="003716DA">
      <w:pPr>
        <w:pStyle w:val="Odlomakpopisa"/>
        <w:numPr>
          <w:ilvl w:val="0"/>
          <w:numId w:val="1"/>
        </w:numPr>
      </w:pPr>
      <w:r>
        <w:t>V007 - Stanje dospjelih obveza..............................................................0,00 € na dan 31.03.2026., nema</w:t>
      </w:r>
    </w:p>
    <w:p w:rsidR="008A01A6" w:rsidRDefault="003716DA">
      <w:pPr>
        <w:pStyle w:val="Odlomakpopisa"/>
        <w:numPr>
          <w:ilvl w:val="0"/>
          <w:numId w:val="1"/>
        </w:numPr>
      </w:pPr>
      <w:r>
        <w:t>V006 - Nedospjele obveze........................</w:t>
      </w:r>
      <w:r>
        <w:t>................................................400.406,52 €, a odnose se na:</w:t>
      </w:r>
    </w:p>
    <w:p w:rsidR="008A01A6" w:rsidRDefault="003716DA">
      <w:r>
        <w:t>- međusobne obveze subjekata općeg proračuna</w:t>
      </w:r>
    </w:p>
    <w:p w:rsidR="008A01A6" w:rsidRDefault="003716DA">
      <w:r>
        <w:t>   refundacije HZZO......................................................................................  25.561,41 €</w:t>
      </w:r>
    </w:p>
    <w:p w:rsidR="008A01A6" w:rsidRDefault="003716DA">
      <w:r>
        <w:t>- obveze za za</w:t>
      </w:r>
      <w:r>
        <w:t>poslene i ugovore o djelu.............................................233.264,32 €</w:t>
      </w:r>
    </w:p>
    <w:p w:rsidR="008A01A6" w:rsidRDefault="003716DA">
      <w:r>
        <w:t>- obveze za materijalne rashode.............................................................120.578,70 €</w:t>
      </w:r>
    </w:p>
    <w:p w:rsidR="008A01A6" w:rsidRDefault="003716DA">
      <w:r>
        <w:t xml:space="preserve">- obveze za </w:t>
      </w:r>
      <w:proofErr w:type="spellStart"/>
      <w:r>
        <w:t>financijeks</w:t>
      </w:r>
      <w:proofErr w:type="spellEnd"/>
      <w:r>
        <w:t xml:space="preserve"> i ostale nespomenute rashode................</w:t>
      </w:r>
      <w:r>
        <w:t>..........136,21 €</w:t>
      </w:r>
    </w:p>
    <w:p w:rsidR="008A01A6" w:rsidRDefault="003716DA">
      <w:r>
        <w:t>- ostale tekuće obveze......................................................................................1.699,18 €</w:t>
      </w:r>
    </w:p>
    <w:p w:rsidR="008A01A6" w:rsidRDefault="003716DA">
      <w:r>
        <w:t>- obveze za nabavu dugotrajne imovine......................................................166,69 €</w:t>
      </w:r>
    </w:p>
    <w:p w:rsidR="008A01A6" w:rsidRDefault="003716DA">
      <w:r>
        <w:t>- obveze za jamčev</w:t>
      </w:r>
      <w:r>
        <w:t>ine....................................................................................19.000,00 €</w:t>
      </w:r>
    </w:p>
    <w:p w:rsidR="008A01A6" w:rsidRDefault="003716DA">
      <w:r>
        <w:t> 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A01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A0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8A01A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</w:t>
            </w:r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A01A6" w:rsidRDefault="003716D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A01A6" w:rsidRDefault="008A01A6">
      <w:pPr>
        <w:spacing w:after="0"/>
      </w:pPr>
    </w:p>
    <w:p w:rsidR="008A01A6" w:rsidRDefault="003716DA">
      <w:r>
        <w:t>Na dan 31.03.2026. sve su obveze podmirene, stanje dospjelih obveza iznosi 0,00 €.</w:t>
      </w:r>
    </w:p>
    <w:p w:rsidR="008A01A6" w:rsidRDefault="008A01A6"/>
    <w:p w:rsidR="008A01A6" w:rsidRDefault="003716DA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p w:rsidR="008A01A6" w:rsidRDefault="003716DA">
      <w:pPr>
        <w:spacing w:line="240" w:lineRule="auto"/>
        <w:jc w:val="both"/>
      </w:pPr>
      <w:r>
        <w:rPr>
          <w:b/>
        </w:rPr>
        <w:t>EU izvještaj</w:t>
      </w:r>
    </w:p>
    <w:p w:rsidR="008A01A6" w:rsidRDefault="003716DA">
      <w:r>
        <w:t>EU IZVJEŠTAJ PO IZVORU FINANCIRANJA - NACIONALNO SUFINANCIRANJE</w:t>
      </w:r>
    </w:p>
    <w:p w:rsidR="008A01A6" w:rsidRDefault="003716DA">
      <w:r>
        <w:t>Prihodi poslovanja, šifra 6 iznosi 14.398,12 € i odnosi se na 6391 tekući prijenos između proračunskih korisnika istog proračuna.</w:t>
      </w:r>
    </w:p>
    <w:p w:rsidR="008A01A6" w:rsidRDefault="003716DA">
      <w:r>
        <w:t>Rashodi za nabavu nefinancijske imovine, šifra 4 iznose 13.446,90 € i odnosi se na 4231 prijevozna sredstva (dio računa 4.946,</w:t>
      </w:r>
      <w:r>
        <w:t>90 €) i 4225 dio račun u iznosu od 8.500,00 €.</w:t>
      </w:r>
    </w:p>
    <w:p w:rsidR="008A01A6" w:rsidRDefault="008A01A6"/>
    <w:sectPr w:rsidR="008A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313E"/>
    <w:multiLevelType w:val="hybridMultilevel"/>
    <w:tmpl w:val="C07AC068"/>
    <w:name w:val="disc"/>
    <w:lvl w:ilvl="0" w:tplc="EFE00438">
      <w:start w:val="1"/>
      <w:numFmt w:val="bullet"/>
      <w:lvlText w:val="•"/>
      <w:lvlJc w:val="left"/>
      <w:pPr>
        <w:ind w:left="720" w:hanging="360"/>
      </w:pPr>
    </w:lvl>
    <w:lvl w:ilvl="1" w:tplc="3282F4A2">
      <w:start w:val="1"/>
      <w:numFmt w:val="bullet"/>
      <w:lvlText w:val="•"/>
      <w:lvlJc w:val="left"/>
      <w:pPr>
        <w:ind w:left="1440" w:hanging="360"/>
      </w:pPr>
    </w:lvl>
    <w:lvl w:ilvl="2" w:tplc="AECEC894">
      <w:start w:val="1"/>
      <w:numFmt w:val="bullet"/>
      <w:lvlText w:val="•"/>
      <w:lvlJc w:val="left"/>
      <w:pPr>
        <w:ind w:left="2160" w:hanging="360"/>
      </w:pPr>
    </w:lvl>
    <w:lvl w:ilvl="3" w:tplc="6CE027D6">
      <w:start w:val="1"/>
      <w:numFmt w:val="bullet"/>
      <w:lvlText w:val="•"/>
      <w:lvlJc w:val="left"/>
      <w:pPr>
        <w:ind w:left="2880" w:hanging="360"/>
      </w:pPr>
    </w:lvl>
    <w:lvl w:ilvl="4" w:tplc="84F4EE62">
      <w:start w:val="1"/>
      <w:numFmt w:val="bullet"/>
      <w:lvlText w:val="•"/>
      <w:lvlJc w:val="left"/>
      <w:pPr>
        <w:ind w:left="3600" w:hanging="360"/>
      </w:pPr>
    </w:lvl>
    <w:lvl w:ilvl="5" w:tplc="CC64AE3A">
      <w:start w:val="1"/>
      <w:numFmt w:val="bullet"/>
      <w:lvlText w:val="•"/>
      <w:lvlJc w:val="left"/>
      <w:pPr>
        <w:ind w:left="4320" w:hanging="360"/>
      </w:pPr>
    </w:lvl>
    <w:lvl w:ilvl="6" w:tplc="82F8CD76">
      <w:start w:val="1"/>
      <w:numFmt w:val="bullet"/>
      <w:lvlText w:val="•"/>
      <w:lvlJc w:val="left"/>
      <w:pPr>
        <w:ind w:left="5040" w:hanging="360"/>
      </w:pPr>
    </w:lvl>
    <w:lvl w:ilvl="7" w:tplc="A05ED6B8">
      <w:start w:val="1"/>
      <w:numFmt w:val="bullet"/>
      <w:lvlText w:val="•"/>
      <w:lvlJc w:val="left"/>
      <w:pPr>
        <w:ind w:left="5760" w:hanging="360"/>
      </w:pPr>
    </w:lvl>
    <w:lvl w:ilvl="8" w:tplc="C8CE1E2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A6"/>
    <w:rsid w:val="003716DA"/>
    <w:rsid w:val="005606C7"/>
    <w:rsid w:val="008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Marijuča Pinezić</dc:creator>
  <cp:lastModifiedBy>Marijuča Pinezić</cp:lastModifiedBy>
  <cp:revision>2</cp:revision>
  <cp:lastPrinted>2026-04-15T12:45:00Z</cp:lastPrinted>
  <dcterms:created xsi:type="dcterms:W3CDTF">2026-04-15T12:49:00Z</dcterms:created>
  <dcterms:modified xsi:type="dcterms:W3CDTF">2026-04-15T12:49:00Z</dcterms:modified>
</cp:coreProperties>
</file>